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B487" w14:textId="5214599A" w:rsidR="00550AD3" w:rsidRDefault="00D00BE6" w:rsidP="00554A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50AD3">
        <w:rPr>
          <w:rFonts w:ascii="Arial" w:hAnsi="Arial" w:cs="Arial"/>
          <w:bCs/>
          <w:spacing w:val="-3"/>
          <w:sz w:val="22"/>
          <w:szCs w:val="22"/>
        </w:rPr>
        <w:t xml:space="preserve">On 29 December 2022, the Government announced a suite of actions to </w:t>
      </w:r>
      <w:r w:rsidR="00550AD3" w:rsidRPr="00550AD3">
        <w:rPr>
          <w:rFonts w:ascii="Arial" w:hAnsi="Arial" w:cs="Arial"/>
          <w:bCs/>
          <w:spacing w:val="-3"/>
          <w:sz w:val="22"/>
          <w:szCs w:val="22"/>
        </w:rPr>
        <w:t>strengthen</w:t>
      </w:r>
      <w:r w:rsidRPr="00550AD3">
        <w:rPr>
          <w:rFonts w:ascii="Arial" w:hAnsi="Arial" w:cs="Arial"/>
          <w:bCs/>
          <w:spacing w:val="-3"/>
          <w:sz w:val="22"/>
          <w:szCs w:val="22"/>
        </w:rPr>
        <w:t xml:space="preserve"> the response to se</w:t>
      </w:r>
      <w:r w:rsidR="00550AD3" w:rsidRPr="00550AD3">
        <w:rPr>
          <w:rFonts w:ascii="Arial" w:hAnsi="Arial" w:cs="Arial"/>
          <w:bCs/>
          <w:spacing w:val="-3"/>
          <w:sz w:val="22"/>
          <w:szCs w:val="22"/>
        </w:rPr>
        <w:t xml:space="preserve">rious </w:t>
      </w:r>
      <w:r w:rsidRPr="00550AD3">
        <w:rPr>
          <w:rFonts w:ascii="Arial" w:hAnsi="Arial" w:cs="Arial"/>
          <w:bCs/>
          <w:spacing w:val="-3"/>
          <w:sz w:val="22"/>
          <w:szCs w:val="22"/>
        </w:rPr>
        <w:t>offending, particularly among young people</w:t>
      </w:r>
      <w:r w:rsidR="00550AD3" w:rsidRPr="00550AD3">
        <w:rPr>
          <w:rFonts w:ascii="Arial" w:hAnsi="Arial" w:cs="Arial"/>
          <w:bCs/>
          <w:spacing w:val="-3"/>
          <w:sz w:val="22"/>
          <w:szCs w:val="22"/>
        </w:rPr>
        <w:t xml:space="preserve">.  The announced actions included legislative reforms to require courts to take into account previous </w:t>
      </w:r>
      <w:r w:rsidR="000E1603">
        <w:rPr>
          <w:rFonts w:ascii="Arial" w:hAnsi="Arial" w:cs="Arial"/>
          <w:bCs/>
          <w:spacing w:val="-3"/>
          <w:sz w:val="22"/>
          <w:szCs w:val="22"/>
        </w:rPr>
        <w:t>b</w:t>
      </w:r>
      <w:r w:rsidR="00550AD3" w:rsidRPr="00550AD3">
        <w:rPr>
          <w:rFonts w:ascii="Arial" w:hAnsi="Arial" w:cs="Arial"/>
          <w:bCs/>
          <w:spacing w:val="-3"/>
          <w:sz w:val="22"/>
          <w:szCs w:val="22"/>
        </w:rPr>
        <w:t xml:space="preserve">ail history when sentencing young people and increasing penalties for young people or adult offenders for stealing a car or for posting about vehicle-related crimes on social media. </w:t>
      </w:r>
    </w:p>
    <w:p w14:paraId="3731CE69" w14:textId="1833585E" w:rsidR="00554A2C" w:rsidRDefault="0014184F" w:rsidP="00554A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Government also committed </w:t>
      </w:r>
      <w:r w:rsidR="003005F5">
        <w:rPr>
          <w:rFonts w:ascii="Arial" w:hAnsi="Arial" w:cs="Arial"/>
          <w:bCs/>
          <w:spacing w:val="-3"/>
          <w:sz w:val="22"/>
          <w:szCs w:val="22"/>
        </w:rPr>
        <w:t>to</w:t>
      </w:r>
      <w:r w:rsidR="00554A2C">
        <w:rPr>
          <w:rFonts w:ascii="Arial" w:hAnsi="Arial" w:cs="Arial"/>
          <w:bCs/>
          <w:spacing w:val="-3"/>
          <w:sz w:val="22"/>
          <w:szCs w:val="22"/>
        </w:rPr>
        <w:t xml:space="preserve"> strengthen responses to youth serious repeat offenders, extend a trial of electronic monitoring as an available condition of bail for certain young offenders and enable the transfer of </w:t>
      </w:r>
      <w:r w:rsidR="000F7A8B">
        <w:rPr>
          <w:rFonts w:ascii="Arial" w:hAnsi="Arial" w:cs="Arial"/>
          <w:bCs/>
          <w:spacing w:val="-3"/>
          <w:sz w:val="22"/>
          <w:szCs w:val="22"/>
        </w:rPr>
        <w:t>18-year-old</w:t>
      </w:r>
      <w:r w:rsidR="00AA4FC2">
        <w:rPr>
          <w:rFonts w:ascii="Arial" w:hAnsi="Arial" w:cs="Arial"/>
          <w:bCs/>
          <w:spacing w:val="-3"/>
          <w:sz w:val="22"/>
          <w:szCs w:val="22"/>
        </w:rPr>
        <w:t xml:space="preserve"> sentenced or remanded detainees to adult correctional facilities.</w:t>
      </w:r>
    </w:p>
    <w:p w14:paraId="166DCDD9" w14:textId="330F443A" w:rsidR="00554A2C" w:rsidRPr="00554A2C" w:rsidRDefault="00554A2C" w:rsidP="00554A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54A2C">
        <w:rPr>
          <w:rFonts w:ascii="Arial" w:hAnsi="Arial" w:cs="Arial"/>
          <w:bCs/>
          <w:spacing w:val="-3"/>
          <w:sz w:val="22"/>
          <w:szCs w:val="22"/>
        </w:rPr>
        <w:t xml:space="preserve">The primary purpose of the </w:t>
      </w:r>
      <w:r w:rsidR="00B7293C">
        <w:rPr>
          <w:rFonts w:ascii="Arial" w:hAnsi="Arial" w:cs="Arial"/>
          <w:bCs/>
          <w:spacing w:val="-3"/>
          <w:sz w:val="22"/>
          <w:szCs w:val="22"/>
        </w:rPr>
        <w:t>Strengthening Community Safety Bill 2023</w:t>
      </w:r>
      <w:r w:rsidR="00B7293C" w:rsidRPr="00554A2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54A2C">
        <w:rPr>
          <w:rFonts w:ascii="Arial" w:hAnsi="Arial" w:cs="Arial"/>
          <w:bCs/>
          <w:spacing w:val="-3"/>
          <w:sz w:val="22"/>
          <w:szCs w:val="22"/>
        </w:rPr>
        <w:t xml:space="preserve">is to </w:t>
      </w:r>
      <w:r w:rsidR="00B7293C">
        <w:rPr>
          <w:rFonts w:ascii="Arial" w:hAnsi="Arial" w:cs="Arial"/>
          <w:bCs/>
          <w:spacing w:val="-3"/>
          <w:sz w:val="22"/>
          <w:szCs w:val="22"/>
        </w:rPr>
        <w:t>give effect to the announced legislative reforms and strengthen youth justice laws</w:t>
      </w:r>
      <w:r w:rsidRPr="00554A2C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13E0157B" w14:textId="6BB942BA" w:rsidR="00AA4FC2" w:rsidRPr="003D5A8B" w:rsidRDefault="00D6589B" w:rsidP="00AA4FC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D00BE6">
        <w:rPr>
          <w:rFonts w:ascii="Arial" w:hAnsi="Arial" w:cs="Arial"/>
          <w:sz w:val="22"/>
          <w:szCs w:val="22"/>
        </w:rPr>
        <w:t xml:space="preserve"> the Strengthening Community Safety Bill 2023 be introduced in the Legislative Assembly.</w:t>
      </w:r>
    </w:p>
    <w:p w14:paraId="1E253BB6" w14:textId="35B6B865" w:rsidR="00B7293C" w:rsidRPr="00D00BE6" w:rsidRDefault="00B7293C" w:rsidP="00AA4FC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the Statement of Exceptional Circumstances.</w:t>
      </w:r>
    </w:p>
    <w:p w14:paraId="619FD68D" w14:textId="0DB269E9" w:rsidR="00D00BE6" w:rsidRPr="00AA4FC2" w:rsidRDefault="00D00BE6" w:rsidP="00AA4FC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release of the Final Report of the Evaluation of the Electronic Monitoring Trial.</w:t>
      </w:r>
    </w:p>
    <w:p w14:paraId="4DD3A00B" w14:textId="42254ACE" w:rsidR="00D6589B" w:rsidRPr="00C07656" w:rsidRDefault="00D6589B" w:rsidP="000F7A8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D00BE6" w:rsidRPr="000F7A8B">
        <w:rPr>
          <w:rFonts w:ascii="Arial" w:hAnsi="Arial" w:cs="Arial"/>
          <w:iCs/>
          <w:sz w:val="22"/>
          <w:szCs w:val="22"/>
        </w:rPr>
        <w:t>:</w:t>
      </w:r>
    </w:p>
    <w:p w14:paraId="4AAFA694" w14:textId="5BC88956" w:rsidR="00D6589B" w:rsidRDefault="00487FF6" w:rsidP="00D00BE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D00BE6" w:rsidRPr="00B133CD">
          <w:rPr>
            <w:rStyle w:val="Hyperlink"/>
            <w:rFonts w:ascii="Arial" w:hAnsi="Arial" w:cs="Arial"/>
            <w:sz w:val="22"/>
            <w:szCs w:val="22"/>
          </w:rPr>
          <w:t>Strengthening Community Safety</w:t>
        </w:r>
        <w:r w:rsidR="00AA4FC2" w:rsidRPr="00B133CD">
          <w:rPr>
            <w:rStyle w:val="Hyperlink"/>
            <w:rFonts w:ascii="Arial" w:hAnsi="Arial" w:cs="Arial"/>
            <w:sz w:val="22"/>
            <w:szCs w:val="22"/>
          </w:rPr>
          <w:t xml:space="preserve"> Bill 2023</w:t>
        </w:r>
      </w:hyperlink>
    </w:p>
    <w:p w14:paraId="4E3C9E7B" w14:textId="6D1EA512" w:rsidR="00AA4FC2" w:rsidRDefault="00487FF6" w:rsidP="00D00BE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AA4FC2" w:rsidRPr="00B133C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1AF3A83C" w14:textId="38B1148C" w:rsidR="00AA4FC2" w:rsidRDefault="00487FF6" w:rsidP="00D00BE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AA4FC2" w:rsidRPr="00B133CD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</w:p>
    <w:p w14:paraId="6624B0FA" w14:textId="7D1971A9" w:rsidR="003005F5" w:rsidRDefault="00487FF6" w:rsidP="00D00BE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3005F5" w:rsidRPr="00B133CD">
          <w:rPr>
            <w:rStyle w:val="Hyperlink"/>
            <w:rFonts w:ascii="Arial" w:hAnsi="Arial" w:cs="Arial"/>
            <w:sz w:val="22"/>
            <w:szCs w:val="22"/>
          </w:rPr>
          <w:t>Statement of Exceptional Circumstances to override application of the Human Rights Act</w:t>
        </w:r>
      </w:hyperlink>
    </w:p>
    <w:p w14:paraId="46F32710" w14:textId="408F2FE7" w:rsidR="00AA4FC2" w:rsidRPr="003D5A8B" w:rsidRDefault="00487FF6" w:rsidP="00AA4FC2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4" w:history="1">
        <w:r w:rsidR="00AA4FC2" w:rsidRPr="00B133CD">
          <w:rPr>
            <w:rStyle w:val="Hyperlink"/>
            <w:rFonts w:ascii="Arial" w:hAnsi="Arial" w:cs="Arial"/>
            <w:sz w:val="22"/>
            <w:szCs w:val="22"/>
          </w:rPr>
          <w:t>Final Report of the Evaluation of the Electronic Monitoring Trial</w:t>
        </w:r>
      </w:hyperlink>
    </w:p>
    <w:sectPr w:rsidR="00AA4FC2" w:rsidRPr="003D5A8B" w:rsidSect="00990E0D">
      <w:headerReference w:type="defaul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AF5D" w14:textId="77777777" w:rsidR="00990E0D" w:rsidRDefault="00990E0D" w:rsidP="00D6589B">
      <w:r>
        <w:separator/>
      </w:r>
    </w:p>
  </w:endnote>
  <w:endnote w:type="continuationSeparator" w:id="0">
    <w:p w14:paraId="6AC0282A" w14:textId="77777777" w:rsidR="00990E0D" w:rsidRDefault="00990E0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9111" w14:textId="77777777" w:rsidR="00990E0D" w:rsidRDefault="00990E0D" w:rsidP="00D6589B">
      <w:r>
        <w:separator/>
      </w:r>
    </w:p>
  </w:footnote>
  <w:footnote w:type="continuationSeparator" w:id="0">
    <w:p w14:paraId="64E084EF" w14:textId="77777777" w:rsidR="00990E0D" w:rsidRDefault="00990E0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B10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700027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66CB680" w14:textId="682CDEB1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13A68">
      <w:rPr>
        <w:rFonts w:ascii="Arial" w:hAnsi="Arial" w:cs="Arial"/>
        <w:b/>
        <w:color w:val="auto"/>
        <w:sz w:val="22"/>
        <w:szCs w:val="22"/>
        <w:lang w:eastAsia="en-US"/>
      </w:rPr>
      <w:t>February 2023</w:t>
    </w:r>
  </w:p>
  <w:p w14:paraId="03A229B7" w14:textId="11BDE1B7" w:rsidR="00CB1501" w:rsidRDefault="00D00BE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Strengthening Community Safety</w:t>
    </w:r>
    <w:r w:rsidR="00554A2C" w:rsidRPr="00554A2C">
      <w:rPr>
        <w:rFonts w:ascii="Arial" w:hAnsi="Arial" w:cs="Arial"/>
        <w:b/>
        <w:sz w:val="22"/>
        <w:szCs w:val="22"/>
        <w:u w:val="single"/>
      </w:rPr>
      <w:t xml:space="preserve"> Bill 2023</w:t>
    </w:r>
  </w:p>
  <w:p w14:paraId="32628FB8" w14:textId="70AF5543" w:rsidR="00554A2C" w:rsidRPr="00554A2C" w:rsidRDefault="00554A2C" w:rsidP="00554A2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54A2C">
      <w:rPr>
        <w:rFonts w:ascii="Arial" w:hAnsi="Arial" w:cs="Arial"/>
        <w:b/>
        <w:sz w:val="22"/>
        <w:szCs w:val="22"/>
        <w:u w:val="single"/>
      </w:rPr>
      <w:t>Premier and Minister for the Olympic and Paralympic Games</w:t>
    </w:r>
  </w:p>
  <w:p w14:paraId="7AA7881B" w14:textId="77777777" w:rsidR="00554A2C" w:rsidRDefault="00554A2C" w:rsidP="00D00BE6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 w:rsidRPr="00554A2C">
      <w:rPr>
        <w:rFonts w:ascii="Arial" w:hAnsi="Arial" w:cs="Arial"/>
        <w:b/>
        <w:sz w:val="22"/>
        <w:szCs w:val="22"/>
        <w:u w:val="single"/>
      </w:rPr>
      <w:tab/>
      <w:t>Deputy Premier, Minister for State Development, Infrastructure, Local Government and Planning and Minister Assisting the Premier on Olympic and Paralympic Games Infrastructure</w:t>
    </w:r>
  </w:p>
  <w:p w14:paraId="7BB41B2D" w14:textId="081D7344" w:rsidR="00554A2C" w:rsidRPr="00554A2C" w:rsidRDefault="00554A2C" w:rsidP="00D00BE6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 w:rsidRPr="00554A2C">
      <w:rPr>
        <w:rFonts w:ascii="Arial" w:hAnsi="Arial" w:cs="Arial"/>
        <w:b/>
        <w:sz w:val="22"/>
        <w:szCs w:val="22"/>
        <w:u w:val="single"/>
      </w:rPr>
      <w:t xml:space="preserve">Attorney-General and Minister for Justice, Minister for Women and Minister for the Prevention of Domestic and Family Violence  </w:t>
    </w:r>
  </w:p>
  <w:p w14:paraId="47838336" w14:textId="11271F86" w:rsidR="00554A2C" w:rsidRPr="00554A2C" w:rsidRDefault="00554A2C" w:rsidP="00D00BE6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 w:rsidRPr="00554A2C">
      <w:rPr>
        <w:rFonts w:ascii="Arial" w:hAnsi="Arial" w:cs="Arial"/>
        <w:b/>
        <w:sz w:val="22"/>
        <w:szCs w:val="22"/>
        <w:u w:val="single"/>
      </w:rPr>
      <w:t xml:space="preserve">Minister for Police and Corrective Services and Minister for Fire and Emergency Services </w:t>
    </w:r>
  </w:p>
  <w:p w14:paraId="7F270374" w14:textId="081B8DE7" w:rsidR="00CB1501" w:rsidRDefault="00554A2C" w:rsidP="00D00BE6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 w:rsidRPr="00554A2C">
      <w:rPr>
        <w:rFonts w:ascii="Arial" w:hAnsi="Arial" w:cs="Arial"/>
        <w:b/>
        <w:sz w:val="22"/>
        <w:szCs w:val="22"/>
        <w:u w:val="single"/>
      </w:rPr>
      <w:t>Minister for Children and Youth Justice and Minister for Multicultural Affairs</w:t>
    </w:r>
  </w:p>
  <w:p w14:paraId="16BC7F4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056645"/>
    <w:multiLevelType w:val="hybridMultilevel"/>
    <w:tmpl w:val="97229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114076">
    <w:abstractNumId w:val="3"/>
  </w:num>
  <w:num w:numId="2" w16cid:durableId="1395548395">
    <w:abstractNumId w:val="2"/>
  </w:num>
  <w:num w:numId="3" w16cid:durableId="432359381">
    <w:abstractNumId w:val="0"/>
  </w:num>
  <w:num w:numId="4" w16cid:durableId="108090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95"/>
    <w:rsid w:val="00080F8F"/>
    <w:rsid w:val="000D0DF7"/>
    <w:rsid w:val="000E1603"/>
    <w:rsid w:val="000F7A8B"/>
    <w:rsid w:val="0010384C"/>
    <w:rsid w:val="00116A08"/>
    <w:rsid w:val="0014184F"/>
    <w:rsid w:val="00152095"/>
    <w:rsid w:val="00174117"/>
    <w:rsid w:val="00257104"/>
    <w:rsid w:val="003005F5"/>
    <w:rsid w:val="003A3BDD"/>
    <w:rsid w:val="003D5A8B"/>
    <w:rsid w:val="0043543B"/>
    <w:rsid w:val="00487FF6"/>
    <w:rsid w:val="004F46C1"/>
    <w:rsid w:val="00501C66"/>
    <w:rsid w:val="00550873"/>
    <w:rsid w:val="00550AD3"/>
    <w:rsid w:val="00554A2C"/>
    <w:rsid w:val="0062732D"/>
    <w:rsid w:val="007265D0"/>
    <w:rsid w:val="00732E22"/>
    <w:rsid w:val="00741C20"/>
    <w:rsid w:val="007F44F4"/>
    <w:rsid w:val="00904077"/>
    <w:rsid w:val="00937A4A"/>
    <w:rsid w:val="00990E0D"/>
    <w:rsid w:val="00AA4FC2"/>
    <w:rsid w:val="00B133CD"/>
    <w:rsid w:val="00B61F41"/>
    <w:rsid w:val="00B7293C"/>
    <w:rsid w:val="00B82167"/>
    <w:rsid w:val="00B95A06"/>
    <w:rsid w:val="00C21CA2"/>
    <w:rsid w:val="00C75E67"/>
    <w:rsid w:val="00CB1501"/>
    <w:rsid w:val="00CD7A50"/>
    <w:rsid w:val="00CF0D8A"/>
    <w:rsid w:val="00D00BE6"/>
    <w:rsid w:val="00D6589B"/>
    <w:rsid w:val="00E13A68"/>
    <w:rsid w:val="00EA4D7B"/>
    <w:rsid w:val="00F24A8A"/>
    <w:rsid w:val="00F45B99"/>
    <w:rsid w:val="00F64EFE"/>
    <w:rsid w:val="00F72C44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D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A2C"/>
    <w:pPr>
      <w:ind w:left="720"/>
      <w:contextualSpacing/>
    </w:pPr>
  </w:style>
  <w:style w:type="paragraph" w:styleId="Revision">
    <w:name w:val="Revision"/>
    <w:hidden/>
    <w:uiPriority w:val="99"/>
    <w:semiHidden/>
    <w:rsid w:val="000E1603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13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3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pcqld.sharepoint.com/sites/DPC-CABINETSERVICES/Shared%20Documents/General/Proactive%20Release/ToBeProcessed/2023/Feb/StrengtheningCtySafetyBill/Attachments/SoEC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cqld.sharepoint.com/sites/DPC-CABINETSERVICES/Shared%20Documents/General/Proactive%20Release/ToBeProcessed/2023/Feb/StrengtheningCtySafetyBill/Attachments/SoC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3/Feb/StrengtheningCtySafetyBill/Attachments/ExNote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pcqld.sharepoint.com/sites/DPC-CABINETSERVICES/Shared%20Documents/General/Proactive%20Release/ToBeProcessed/2023/Feb/StrengtheningCtySafetyBill/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pcqld.sharepoint.com/sites/DPC-CABINETSERVICES/Shared%20Documents/General/Proactive%20Release/ToBeProcessed/2023/Feb/StrengtheningCtySafetyBill/Attachments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AB8E0-8C61-4866-BA12-245C8BF83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207</Words>
  <Characters>1220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1423</CharactersWithSpaces>
  <SharedDoc>false</SharedDoc>
  <HyperlinkBase>https://www.cabinet.qld.gov.au/documents/2023/Feb/StrengtheningCtySafetyBill/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dcterms:created xsi:type="dcterms:W3CDTF">2023-02-18T23:38:00Z</dcterms:created>
  <dcterms:modified xsi:type="dcterms:W3CDTF">2024-07-17T05:47:00Z</dcterms:modified>
  <cp:category>Community,Legislation,Safety,Youth_Justice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